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1500" w:firstLineChars="500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 xml:space="preserve">附件  </w:t>
      </w:r>
      <w:bookmarkStart w:id="0" w:name="_GoBack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专项清理整治工作情况统计表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01"/>
        <w:gridCol w:w="3797"/>
        <w:gridCol w:w="1013"/>
        <w:gridCol w:w="1035"/>
        <w:gridCol w:w="92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序列</w:t>
            </w:r>
          </w:p>
        </w:tc>
        <w:tc>
          <w:tcPr>
            <w:tcW w:w="379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工作举措</w:t>
            </w:r>
          </w:p>
        </w:tc>
        <w:tc>
          <w:tcPr>
            <w:tcW w:w="2969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工作成果</w:t>
            </w: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备 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3797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省级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市级</w:t>
            </w:r>
          </w:p>
        </w:tc>
        <w:tc>
          <w:tcPr>
            <w:tcW w:w="9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县级</w:t>
            </w: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开展自查协会商会数（个）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通过自查纠正乱收费问题数（个）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抽查协会商会数（个）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规范会费收取标准和程序的协会商会数（个）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调整和规范经营服务性收费项目数（个）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降低偏高收费项目数（个）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查处存在乱收费问题协会商会数（个）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查处乱收费金额（万元）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通过减免和降低收费减轻企业负担金额（万元）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对收费信息进行公示的协会商会数（个）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设立电话、邮箱、微信小程序等举报平台数（个）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</w:t>
            </w:r>
          </w:p>
        </w:tc>
        <w:tc>
          <w:tcPr>
            <w:tcW w:w="37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textAlignment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围绕收费长效监管机制出台政策文件数（个）</w:t>
            </w:r>
          </w:p>
        </w:tc>
        <w:tc>
          <w:tcPr>
            <w:tcW w:w="101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1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2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  <w:tc>
          <w:tcPr>
            <w:tcW w:w="9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1487F"/>
    <w:rsid w:val="4CF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2021-06-23T08:31:00Z</dcterms:created>
  <dc:creator>中国工程咨询-ly</dc:creator>
  <cp:lastModifiedBy>中国工程咨询-ly</cp:lastModifiedBy>
  <dcterms:modified xsi:type="dcterms:W3CDTF">2021-06-23T08:42:38Z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5060C36DC85C40B0944ECD4164A6AEA5</vt:lpwstr>
  </property>
</Properties>
</file>